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E" w:rsidRDefault="0084155E" w:rsidP="00BC41F1">
      <w:pPr>
        <w:spacing w:line="240" w:lineRule="auto"/>
        <w:jc w:val="center"/>
      </w:pPr>
      <w:r w:rsidRPr="0084155E">
        <w:drawing>
          <wp:inline distT="0" distB="0" distL="0" distR="0">
            <wp:extent cx="1666626" cy="691650"/>
            <wp:effectExtent l="0" t="0" r="0" b="0"/>
            <wp:docPr id="1" name="Picture 1" descr="UNISON Nationa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Nationa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01" cy="69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1B" w:rsidRDefault="007934D1" w:rsidP="00BC41F1">
      <w:pPr>
        <w:spacing w:line="240" w:lineRule="auto"/>
      </w:pPr>
      <w:r>
        <w:t>Dear UNISON members in EA</w:t>
      </w:r>
    </w:p>
    <w:p w:rsidR="007934D1" w:rsidRPr="007934D1" w:rsidRDefault="002841A1" w:rsidP="00BC41F1">
      <w:pPr>
        <w:spacing w:line="240" w:lineRule="auto"/>
        <w:rPr>
          <w:b/>
        </w:rPr>
      </w:pPr>
      <w:r>
        <w:rPr>
          <w:b/>
        </w:rPr>
        <w:t xml:space="preserve">ENVIRONMENT AGENCY </w:t>
      </w:r>
      <w:r w:rsidR="007934D1" w:rsidRPr="007934D1">
        <w:rPr>
          <w:b/>
        </w:rPr>
        <w:t>INDUSTRIAL ACTION BALLOT</w:t>
      </w:r>
    </w:p>
    <w:p w:rsidR="007934D1" w:rsidRDefault="002841A1" w:rsidP="00BC41F1">
      <w:pPr>
        <w:spacing w:line="240" w:lineRule="auto"/>
      </w:pPr>
      <w:r>
        <w:t xml:space="preserve">I am writing </w:t>
      </w:r>
      <w:r w:rsidR="007934D1">
        <w:t xml:space="preserve">to explain the </w:t>
      </w:r>
      <w:r w:rsidR="00E33786">
        <w:t xml:space="preserve">two </w:t>
      </w:r>
      <w:r w:rsidR="007934D1">
        <w:t>question</w:t>
      </w:r>
      <w:r w:rsidR="00E33786">
        <w:t>s</w:t>
      </w:r>
      <w:r>
        <w:t xml:space="preserve"> </w:t>
      </w:r>
      <w:r w:rsidR="007934D1">
        <w:t>on the ballot paper, and to sum up the background to this dispute.</w:t>
      </w:r>
    </w:p>
    <w:p w:rsidR="007934D1" w:rsidRPr="007934D1" w:rsidRDefault="007934D1" w:rsidP="00BC41F1">
      <w:pPr>
        <w:spacing w:line="240" w:lineRule="auto"/>
        <w:rPr>
          <w:b/>
        </w:rPr>
      </w:pPr>
      <w:r w:rsidRPr="007934D1">
        <w:rPr>
          <w:b/>
        </w:rPr>
        <w:t>THE BALLOT QUESTION</w:t>
      </w:r>
      <w:r w:rsidR="00BC41F1">
        <w:rPr>
          <w:b/>
        </w:rPr>
        <w:t>S</w:t>
      </w:r>
    </w:p>
    <w:p w:rsidR="009262EF" w:rsidRDefault="007934D1" w:rsidP="00BC41F1">
      <w:pPr>
        <w:spacing w:line="240" w:lineRule="auto"/>
      </w:pPr>
      <w:r>
        <w:t xml:space="preserve">We are asking whether you support strike action, and whether you support </w:t>
      </w:r>
      <w:r w:rsidR="00E33786">
        <w:t>‘</w:t>
      </w:r>
      <w:r>
        <w:t>action short of strike</w:t>
      </w:r>
      <w:r w:rsidR="00E33786">
        <w:t>’</w:t>
      </w:r>
      <w:r>
        <w:t xml:space="preserve">. We ask both questions for legal reasons which are set out </w:t>
      </w:r>
      <w:r w:rsidR="00314BD5">
        <w:t xml:space="preserve">further </w:t>
      </w:r>
      <w:r>
        <w:t xml:space="preserve">below. </w:t>
      </w:r>
    </w:p>
    <w:p w:rsidR="00000000" w:rsidRDefault="006E6A38" w:rsidP="00BC41F1">
      <w:pPr>
        <w:pStyle w:val="ListParagraph"/>
        <w:numPr>
          <w:ilvl w:val="0"/>
          <w:numId w:val="1"/>
        </w:numPr>
        <w:spacing w:line="240" w:lineRule="auto"/>
      </w:pPr>
      <w:r w:rsidRPr="006E6A38">
        <w:rPr>
          <w:u w:val="single"/>
        </w:rPr>
        <w:t xml:space="preserve">We </w:t>
      </w:r>
      <w:r>
        <w:rPr>
          <w:u w:val="single"/>
        </w:rPr>
        <w:t>are not planning t</w:t>
      </w:r>
      <w:r w:rsidR="0084155E">
        <w:rPr>
          <w:u w:val="single"/>
        </w:rPr>
        <w:t>o</w:t>
      </w:r>
      <w:r>
        <w:rPr>
          <w:u w:val="single"/>
        </w:rPr>
        <w:t xml:space="preserve"> </w:t>
      </w:r>
      <w:r w:rsidRPr="006E6A38">
        <w:rPr>
          <w:u w:val="single"/>
        </w:rPr>
        <w:t>ask members to take all</w:t>
      </w:r>
      <w:r w:rsidR="0084155E">
        <w:rPr>
          <w:u w:val="single"/>
        </w:rPr>
        <w:t>-</w:t>
      </w:r>
      <w:r w:rsidRPr="006E6A38">
        <w:rPr>
          <w:u w:val="single"/>
        </w:rPr>
        <w:t>out strike action</w:t>
      </w:r>
      <w:r w:rsidR="007934D1">
        <w:t xml:space="preserve"> of withdrawing your labour for a whol</w:t>
      </w:r>
      <w:bookmarkStart w:id="0" w:name="_GoBack"/>
      <w:bookmarkEnd w:id="0"/>
      <w:r w:rsidR="007934D1">
        <w:t xml:space="preserve">e day or series of days. If you back action in the ballot, we will begin our action by asking you to stop performing </w:t>
      </w:r>
      <w:r w:rsidR="00E33786">
        <w:t xml:space="preserve">some </w:t>
      </w:r>
      <w:r w:rsidR="007934D1">
        <w:t xml:space="preserve">extra duties not required by your contract, and to withdraw from incident rosters on a limited basis, on no more than a single day in a week. </w:t>
      </w:r>
    </w:p>
    <w:p w:rsidR="00000000" w:rsidRDefault="007934D1" w:rsidP="00BC41F1">
      <w:pPr>
        <w:pStyle w:val="ListParagraph"/>
        <w:numPr>
          <w:ilvl w:val="0"/>
          <w:numId w:val="1"/>
        </w:numPr>
        <w:spacing w:line="240" w:lineRule="auto"/>
      </w:pPr>
      <w:r>
        <w:t>We would then look at the impact of that action in assessing what to do next. Since 2017, the law has provided that a strike ballot is valid for six months, then lapses.</w:t>
      </w:r>
    </w:p>
    <w:p w:rsidR="007934D1" w:rsidRPr="007934D1" w:rsidRDefault="007934D1" w:rsidP="00BC41F1">
      <w:pPr>
        <w:spacing w:line="240" w:lineRule="auto"/>
      </w:pPr>
      <w:r w:rsidRPr="007934D1">
        <w:rPr>
          <w:b/>
        </w:rPr>
        <w:t>Action short of strike</w:t>
      </w:r>
      <w:r>
        <w:rPr>
          <w:b/>
        </w:rPr>
        <w:t xml:space="preserve">: </w:t>
      </w:r>
      <w:r>
        <w:t xml:space="preserve">there is a list of </w:t>
      </w:r>
      <w:r w:rsidR="006E6A38" w:rsidRPr="006E6A38">
        <w:rPr>
          <w:u w:val="single"/>
        </w:rPr>
        <w:t>potential</w:t>
      </w:r>
      <w:r>
        <w:t xml:space="preserve"> types of action on the ballot paper. We cann</w:t>
      </w:r>
      <w:r w:rsidR="002841A1">
        <w:t>ot lawfully ask you to take action beyond that specified on the ballot</w:t>
      </w:r>
      <w:r>
        <w:t>. We have made a long list to give flexibility to your representatives to design the most effective programme of action</w:t>
      </w:r>
      <w:r w:rsidR="00BE0543">
        <w:t>.  T</w:t>
      </w:r>
      <w:r>
        <w:t>hese seemed</w:t>
      </w:r>
      <w:r w:rsidR="00BE0543">
        <w:t xml:space="preserve">, </w:t>
      </w:r>
      <w:r>
        <w:t>upon discussing with members</w:t>
      </w:r>
      <w:r w:rsidR="00BE0543">
        <w:t>,</w:t>
      </w:r>
      <w:r>
        <w:t xml:space="preserve"> </w:t>
      </w:r>
      <w:r w:rsidR="002841A1">
        <w:t>to be actions which were</w:t>
      </w:r>
      <w:r>
        <w:t xml:space="preserve"> potentially effective and which they would be prepared to support.</w:t>
      </w:r>
    </w:p>
    <w:p w:rsidR="007934D1" w:rsidRDefault="007934D1" w:rsidP="00BC41F1">
      <w:pPr>
        <w:spacing w:line="240" w:lineRule="auto"/>
      </w:pPr>
      <w:r w:rsidRPr="007934D1">
        <w:rPr>
          <w:b/>
          <w:color w:val="000000" w:themeColor="text1"/>
        </w:rPr>
        <w:t>Strike action</w:t>
      </w:r>
      <w:r>
        <w:t xml:space="preserve"> means a “continuous withdrawal of labour”.  </w:t>
      </w:r>
      <w:r w:rsidR="00BE0543">
        <w:t xml:space="preserve"> </w:t>
      </w:r>
      <w:r>
        <w:t xml:space="preserve">It might constitute “strike action” for </w:t>
      </w:r>
      <w:r w:rsidR="006E6A38" w:rsidRPr="006E6A38">
        <w:rPr>
          <w:i/>
        </w:rPr>
        <w:t>some</w:t>
      </w:r>
      <w:r>
        <w:t xml:space="preserve"> members who are contractually required to perform incident response to withdraw from such duties. </w:t>
      </w:r>
      <w:r w:rsidR="002841A1">
        <w:rPr>
          <w:u w:val="single"/>
        </w:rPr>
        <w:t xml:space="preserve">If you vote to </w:t>
      </w:r>
      <w:r w:rsidR="006E6A38" w:rsidRPr="006E6A38">
        <w:rPr>
          <w:u w:val="single"/>
        </w:rPr>
        <w:t>support strike action it will en</w:t>
      </w:r>
      <w:r w:rsidR="00213812">
        <w:rPr>
          <w:u w:val="single"/>
        </w:rPr>
        <w:t xml:space="preserve">able </w:t>
      </w:r>
      <w:r w:rsidR="006E6A38" w:rsidRPr="006E6A38">
        <w:rPr>
          <w:u w:val="single"/>
        </w:rPr>
        <w:t>these members to participate alongsid</w:t>
      </w:r>
      <w:r w:rsidR="002841A1">
        <w:rPr>
          <w:u w:val="single"/>
        </w:rPr>
        <w:t>e other</w:t>
      </w:r>
      <w:r w:rsidR="006E6A38" w:rsidRPr="006E6A38">
        <w:rPr>
          <w:u w:val="single"/>
        </w:rPr>
        <w:t>s in such action</w:t>
      </w:r>
      <w:r>
        <w:t>.</w:t>
      </w:r>
    </w:p>
    <w:p w:rsidR="00213812" w:rsidRPr="00213812" w:rsidRDefault="006E6A38" w:rsidP="00BC41F1">
      <w:pPr>
        <w:spacing w:line="240" w:lineRule="auto"/>
      </w:pPr>
      <w:r w:rsidRPr="006E6A38">
        <w:rPr>
          <w:b/>
        </w:rPr>
        <w:t xml:space="preserve">Avoiding risk to life: </w:t>
      </w:r>
      <w:r w:rsidR="00213812" w:rsidRPr="00213812">
        <w:t>In a similar way to the Fire Brigade Union, we will not ask members to carry out industrial action where this would endanger life.  In such situations action would be suspended.</w:t>
      </w:r>
    </w:p>
    <w:p w:rsidR="007934D1" w:rsidRDefault="007934D1" w:rsidP="00BC41F1">
      <w:pPr>
        <w:spacing w:line="240" w:lineRule="auto"/>
        <w:rPr>
          <w:b/>
        </w:rPr>
      </w:pPr>
      <w:r w:rsidRPr="007934D1">
        <w:rPr>
          <w:b/>
        </w:rPr>
        <w:t>BACKGROUND TO THE DISPUTE</w:t>
      </w:r>
    </w:p>
    <w:p w:rsidR="007934D1" w:rsidRPr="007934D1" w:rsidRDefault="007934D1" w:rsidP="00BC41F1">
      <w:pPr>
        <w:spacing w:line="240" w:lineRule="auto"/>
        <w:jc w:val="both"/>
        <w:rPr>
          <w:rFonts w:eastAsia="Times New Roman" w:cs="Arial"/>
          <w:lang w:val="en-GB"/>
        </w:rPr>
      </w:pPr>
      <w:r w:rsidRPr="007934D1">
        <w:rPr>
          <w:rFonts w:eastAsia="Times New Roman" w:cs="Arial"/>
          <w:lang w:val="en-GB"/>
        </w:rPr>
        <w:t>91% of UNISON members who voted in the pay ballot rejected the offer. When told this the Agency went ahead and imposed its offer, completely unchanged.</w:t>
      </w:r>
      <w:r>
        <w:rPr>
          <w:rFonts w:eastAsia="Times New Roman" w:cs="Arial"/>
          <w:lang w:val="en-GB"/>
        </w:rPr>
        <w:t xml:space="preserve"> The imposed offer is well below the public sector average (upon which MPs’ 2.7% pay increase has been based).</w:t>
      </w:r>
    </w:p>
    <w:p w:rsidR="007934D1" w:rsidRPr="007934D1" w:rsidRDefault="007934D1" w:rsidP="00BC41F1">
      <w:pPr>
        <w:spacing w:line="240" w:lineRule="auto"/>
        <w:jc w:val="both"/>
        <w:rPr>
          <w:rFonts w:eastAsia="Times New Roman" w:cs="Arial"/>
          <w:b/>
          <w:lang w:val="en-GB"/>
        </w:rPr>
      </w:pPr>
      <w:r w:rsidRPr="007934D1">
        <w:rPr>
          <w:rFonts w:eastAsia="Times New Roman" w:cs="Arial"/>
          <w:b/>
          <w:lang w:val="en-GB"/>
        </w:rPr>
        <w:t>Pay rises 2018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7934D1" w:rsidRPr="007934D1" w:rsidTr="00595E86">
        <w:tc>
          <w:tcPr>
            <w:tcW w:w="2943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Worker group</w:t>
            </w:r>
          </w:p>
        </w:tc>
        <w:tc>
          <w:tcPr>
            <w:tcW w:w="6299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% award</w:t>
            </w:r>
          </w:p>
        </w:tc>
      </w:tr>
      <w:tr w:rsidR="007934D1" w:rsidRPr="007934D1" w:rsidTr="00595E86">
        <w:tc>
          <w:tcPr>
            <w:tcW w:w="2943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Local authority</w:t>
            </w:r>
          </w:p>
        </w:tc>
        <w:tc>
          <w:tcPr>
            <w:tcW w:w="6299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2.7% average, lower paid getting more; minimum 2%</w:t>
            </w:r>
          </w:p>
        </w:tc>
      </w:tr>
      <w:tr w:rsidR="007934D1" w:rsidRPr="007934D1" w:rsidTr="00595E86">
        <w:tc>
          <w:tcPr>
            <w:tcW w:w="2943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NHS</w:t>
            </w:r>
          </w:p>
        </w:tc>
        <w:tc>
          <w:tcPr>
            <w:tcW w:w="6299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3% minimum for nearly all staff, more for low-paid</w:t>
            </w:r>
          </w:p>
        </w:tc>
      </w:tr>
      <w:tr w:rsidR="007934D1" w:rsidRPr="007934D1" w:rsidTr="00595E86">
        <w:tc>
          <w:tcPr>
            <w:tcW w:w="2943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Teachers on main scale</w:t>
            </w:r>
          </w:p>
        </w:tc>
        <w:tc>
          <w:tcPr>
            <w:tcW w:w="6299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3.5%</w:t>
            </w:r>
          </w:p>
        </w:tc>
      </w:tr>
      <w:tr w:rsidR="007934D1" w:rsidRPr="007934D1" w:rsidTr="00595E86">
        <w:tc>
          <w:tcPr>
            <w:tcW w:w="2943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Armed forces</w:t>
            </w:r>
          </w:p>
        </w:tc>
        <w:tc>
          <w:tcPr>
            <w:tcW w:w="6299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2% plus 0.9% one off payment</w:t>
            </w:r>
          </w:p>
        </w:tc>
      </w:tr>
      <w:tr w:rsidR="007934D1" w:rsidRPr="007934D1" w:rsidTr="00595E86">
        <w:tc>
          <w:tcPr>
            <w:tcW w:w="2943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Private sector average</w:t>
            </w:r>
          </w:p>
        </w:tc>
        <w:tc>
          <w:tcPr>
            <w:tcW w:w="6299" w:type="dxa"/>
          </w:tcPr>
          <w:p w:rsidR="007934D1" w:rsidRPr="007934D1" w:rsidRDefault="007934D1" w:rsidP="00BC41F1">
            <w:pPr>
              <w:jc w:val="both"/>
              <w:rPr>
                <w:rFonts w:asciiTheme="minorHAnsi" w:hAnsiTheme="minorHAnsi"/>
              </w:rPr>
            </w:pPr>
            <w:r w:rsidRPr="007934D1">
              <w:rPr>
                <w:rFonts w:asciiTheme="minorHAnsi" w:hAnsiTheme="minorHAnsi"/>
              </w:rPr>
              <w:t>2.8%</w:t>
            </w:r>
          </w:p>
        </w:tc>
      </w:tr>
      <w:tr w:rsidR="007934D1" w:rsidRPr="007934D1" w:rsidTr="00595E86">
        <w:tc>
          <w:tcPr>
            <w:tcW w:w="2943" w:type="dxa"/>
          </w:tcPr>
          <w:p w:rsidR="007934D1" w:rsidRPr="007934D1" w:rsidRDefault="007934D1" w:rsidP="00BC41F1">
            <w:pPr>
              <w:jc w:val="both"/>
              <w:rPr>
                <w:b/>
              </w:rPr>
            </w:pPr>
            <w:r w:rsidRPr="007934D1">
              <w:rPr>
                <w:b/>
              </w:rPr>
              <w:t>EA</w:t>
            </w:r>
          </w:p>
        </w:tc>
        <w:tc>
          <w:tcPr>
            <w:tcW w:w="6299" w:type="dxa"/>
          </w:tcPr>
          <w:p w:rsidR="007934D1" w:rsidRPr="007934D1" w:rsidRDefault="007934D1" w:rsidP="00BC41F1">
            <w:pPr>
              <w:jc w:val="both"/>
              <w:rPr>
                <w:b/>
              </w:rPr>
            </w:pPr>
            <w:r w:rsidRPr="007934D1">
              <w:rPr>
                <w:b/>
              </w:rPr>
              <w:t>1.3%</w:t>
            </w:r>
          </w:p>
        </w:tc>
      </w:tr>
    </w:tbl>
    <w:p w:rsidR="002841A1" w:rsidRDefault="002841A1" w:rsidP="002841A1">
      <w:pPr>
        <w:spacing w:after="0" w:line="240" w:lineRule="auto"/>
        <w:jc w:val="both"/>
        <w:rPr>
          <w:rFonts w:eastAsia="Times New Roman" w:cs="Arial"/>
          <w:lang w:val="en-GB"/>
        </w:rPr>
      </w:pPr>
    </w:p>
    <w:p w:rsidR="007934D1" w:rsidRPr="007934D1" w:rsidRDefault="007934D1" w:rsidP="00BC41F1">
      <w:pPr>
        <w:spacing w:line="240" w:lineRule="auto"/>
        <w:jc w:val="both"/>
        <w:rPr>
          <w:rFonts w:eastAsia="Times New Roman" w:cs="Arial"/>
          <w:lang w:val="en-GB"/>
        </w:rPr>
      </w:pPr>
      <w:r w:rsidRPr="007934D1">
        <w:rPr>
          <w:rFonts w:eastAsia="Times New Roman" w:cs="Arial"/>
          <w:lang w:val="en-GB"/>
        </w:rPr>
        <w:t xml:space="preserve">We believe the Agency made no meaningful effort to secure resource to enable its staff to avoid a real pay cut (adding to others in previous years that have meant real pay is 20% down since 2009). </w:t>
      </w:r>
    </w:p>
    <w:p w:rsidR="00BC41F1" w:rsidRPr="007934D1" w:rsidRDefault="007934D1" w:rsidP="002841A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934D1">
        <w:rPr>
          <w:rFonts w:eastAsia="Times New Roman" w:cs="Arial"/>
          <w:lang w:val="en-GB"/>
        </w:rPr>
        <w:t xml:space="preserve">We ask that they reopen discussion </w:t>
      </w:r>
      <w:r w:rsidRPr="007934D1">
        <w:rPr>
          <w:rFonts w:eastAsia="Times New Roman" w:cs="Arial"/>
          <w:b/>
          <w:lang w:val="en-GB"/>
        </w:rPr>
        <w:t>and</w:t>
      </w:r>
      <w:r w:rsidRPr="007934D1">
        <w:rPr>
          <w:rFonts w:eastAsia="Times New Roman" w:cs="Arial"/>
          <w:lang w:val="en-GB"/>
        </w:rPr>
        <w:t xml:space="preserve"> seek further resources or flexibility from Government. </w:t>
      </w:r>
    </w:p>
    <w:sectPr w:rsidR="00BC41F1" w:rsidRPr="007934D1" w:rsidSect="00BC41F1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A1" w:rsidRDefault="002841A1" w:rsidP="002841A1">
      <w:pPr>
        <w:spacing w:after="0" w:line="240" w:lineRule="auto"/>
      </w:pPr>
      <w:r>
        <w:separator/>
      </w:r>
    </w:p>
  </w:endnote>
  <w:endnote w:type="continuationSeparator" w:id="0">
    <w:p w:rsidR="002841A1" w:rsidRDefault="002841A1" w:rsidP="0028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A1" w:rsidRDefault="002841A1" w:rsidP="002841A1">
    <w:pPr>
      <w:pStyle w:val="Footer"/>
      <w:jc w:val="center"/>
    </w:pPr>
    <w:r>
      <w:t>Andrew Dobbie, National Officer for Environment, a.dobbie@unison.co.uk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A1" w:rsidRDefault="002841A1" w:rsidP="002841A1">
      <w:pPr>
        <w:spacing w:after="0" w:line="240" w:lineRule="auto"/>
      </w:pPr>
      <w:r>
        <w:separator/>
      </w:r>
    </w:p>
  </w:footnote>
  <w:footnote w:type="continuationSeparator" w:id="0">
    <w:p w:rsidR="002841A1" w:rsidRDefault="002841A1" w:rsidP="0028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842"/>
    <w:multiLevelType w:val="hybridMultilevel"/>
    <w:tmpl w:val="8C6E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wain, Chris">
    <w15:presenceInfo w15:providerId="AD" w15:userId="S-1-5-21-5500852-3169274997-3744214685-746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4D1"/>
    <w:rsid w:val="00213812"/>
    <w:rsid w:val="002841A1"/>
    <w:rsid w:val="00314BD5"/>
    <w:rsid w:val="003F6EE7"/>
    <w:rsid w:val="00531E1B"/>
    <w:rsid w:val="00537434"/>
    <w:rsid w:val="006E6A38"/>
    <w:rsid w:val="007934D1"/>
    <w:rsid w:val="007D788C"/>
    <w:rsid w:val="0084155E"/>
    <w:rsid w:val="009262EF"/>
    <w:rsid w:val="00BC41F1"/>
    <w:rsid w:val="00BE0543"/>
    <w:rsid w:val="00E33786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4D1"/>
    <w:pPr>
      <w:spacing w:after="0" w:line="240" w:lineRule="auto"/>
    </w:pPr>
    <w:rPr>
      <w:rFonts w:ascii="Arial" w:eastAsia="Times New Roman" w:hAnsi="Arial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A1"/>
  </w:style>
  <w:style w:type="paragraph" w:styleId="Footer">
    <w:name w:val="footer"/>
    <w:basedOn w:val="Normal"/>
    <w:link w:val="FooterChar"/>
    <w:uiPriority w:val="99"/>
    <w:semiHidden/>
    <w:unhideWhenUsed/>
    <w:rsid w:val="0028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son.org.uk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82EF03D67EC1614C93DDB8B7B022729A" ma:contentTypeVersion="11" ma:contentTypeDescription="Create a new Word Document" ma:contentTypeScope="" ma:versionID="c2bfb8bccd358c161ef168a4b8d21575">
  <xsd:schema xmlns:xsd="http://www.w3.org/2001/XMLSchema" xmlns:p="http://schemas.microsoft.com/office/2006/metadata/properties" xmlns:ns2="6e86cc80-d06d-4e8f-b8eb-114dcfb506da" xmlns:ns3="256aff66-9e7c-4346-b980-8f0a12f569af" targetNamespace="http://schemas.microsoft.com/office/2006/metadata/properties" ma:root="true" ma:fieldsID="fdd6ca767cd2ee1f5f701423712741e4" ns2:_="" ns3:_="">
    <xsd:import namespace="6e86cc80-d06d-4e8f-b8eb-114dcfb506da"/>
    <xsd:import namespace="256aff66-9e7c-4346-b980-8f0a12f569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Submitted" minOccurs="0"/>
                <xsd:element ref="ns3:Date_x0020_Approved" minOccurs="0"/>
                <xsd:element ref="ns2:Submitter" minOccurs="0"/>
                <xsd:element ref="ns3:UNISON_x0020_Source_x0020_URL" minOccurs="0"/>
                <xsd:element ref="ns3:UNISON_x0020_Target_x0020_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56aff66-9e7c-4346-b980-8f0a12f569af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Submitted" ma:index="13" nillable="true" ma:displayName="Date Submitted" ma:hidden="true" ma:internalName="Date_x0020_Submitted" ma:readOnly="false">
      <xsd:simpleType>
        <xsd:restriction base="dms:Text"/>
      </xsd:simpleType>
    </xsd:element>
    <xsd:element name="Date_x0020_Approved" ma:index="14" nillable="true" ma:displayName="Date Approved" ma:hidden="true" ma:internalName="Date_x0020_Approv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UNISON_x0020_Target_x0020_URL xmlns="256aff66-9e7c-4346-b980-8f0a12f569af">
      <Url xmlns="256aff66-9e7c-4346-b980-8f0a12f569af" xsi:nil="true"/>
      <Description xmlns="256aff66-9e7c-4346-b980-8f0a12f569af" xsi:nil="true"/>
    </UNISON_x0020_Target_x0020_URL>
    <Date_x0020_Approved xmlns="256aff66-9e7c-4346-b980-8f0a12f569af" xsi:nil="true"/>
    <Date_x0020_Submitted xmlns="256aff66-9e7c-4346-b980-8f0a12f569af" xsi:nil="true"/>
    <Approved_x0020_Version xmlns="256aff66-9e7c-4346-b980-8f0a12f569af" xsi:nil="true"/>
    <UNISON_x0020_Source_x0020_URL xmlns="256aff66-9e7c-4346-b980-8f0a12f569af">
      <Url xmlns="256aff66-9e7c-4346-b980-8f0a12f569af" xsi:nil="true"/>
      <Description xmlns="256aff66-9e7c-4346-b980-8f0a12f569af" xsi:nil="true"/>
    </UNISON_x0020_Source_x0020_URL>
  </documentManagement>
</p:properties>
</file>

<file path=customXml/itemProps1.xml><?xml version="1.0" encoding="utf-8"?>
<ds:datastoreItem xmlns:ds="http://schemas.openxmlformats.org/officeDocument/2006/customXml" ds:itemID="{297BB083-0899-48C5-ABC4-66BE1CE1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256aff66-9e7c-4346-b980-8f0a12f569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467855-95E3-43AC-94D0-75D7C7145D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B899C3-394A-4A1E-9CC0-7752603A2C5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252A3DD-038F-4B59-BD86-9B04054FE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6E1CCC-A61E-43F1-B61D-31E9C01A659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256aff66-9e7c-4346-b980-8f0a12f569af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Prentice</dc:creator>
  <cp:lastModifiedBy>dobbiea</cp:lastModifiedBy>
  <cp:revision>2</cp:revision>
  <dcterms:created xsi:type="dcterms:W3CDTF">2019-03-12T22:37:00Z</dcterms:created>
  <dcterms:modified xsi:type="dcterms:W3CDTF">2019-03-12T22:37:00Z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0x0101000C8E16668653CB47B6E8E0CE928ABAD5010082EF03D67EC1614C93DDB8B7B022729A</vt:lpwstr>
  </property>
</Properties>
</file>